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305" w:rsidRPr="00401757" w:rsidRDefault="00401757">
      <w:pPr>
        <w:spacing w:after="223" w:line="259" w:lineRule="auto"/>
        <w:ind w:left="0" w:firstLine="0"/>
        <w:rPr>
          <w:b/>
        </w:rPr>
      </w:pPr>
      <w:r w:rsidRPr="00401757">
        <w:rPr>
          <w:b/>
          <w:color w:val="000000"/>
          <w:sz w:val="24"/>
        </w:rPr>
        <w:t xml:space="preserve"> </w:t>
      </w:r>
    </w:p>
    <w:p w:rsidR="003A2305" w:rsidRPr="003F1618" w:rsidRDefault="00401757">
      <w:pPr>
        <w:spacing w:after="278"/>
        <w:ind w:left="-5"/>
        <w:rPr>
          <w:rFonts w:asciiTheme="minorHAnsi" w:hAnsiTheme="minorHAnsi" w:cstheme="minorHAnsi"/>
          <w:b/>
        </w:rPr>
      </w:pPr>
      <w:r w:rsidRPr="003F1618">
        <w:rPr>
          <w:rFonts w:asciiTheme="minorHAnsi" w:hAnsiTheme="minorHAnsi" w:cstheme="minorHAnsi"/>
          <w:b/>
        </w:rPr>
        <w:t>ABOUT ARCCA, LLC</w:t>
      </w:r>
    </w:p>
    <w:p w:rsidR="003A2305" w:rsidRPr="003F1618" w:rsidRDefault="00401757">
      <w:pPr>
        <w:spacing w:after="280"/>
        <w:rPr>
          <w:rFonts w:asciiTheme="minorHAnsi" w:hAnsiTheme="minorHAnsi" w:cstheme="minorHAnsi"/>
        </w:rPr>
      </w:pPr>
      <w:r w:rsidRPr="003F1618">
        <w:rPr>
          <w:rFonts w:asciiTheme="minorHAnsi" w:hAnsiTheme="minorHAnsi" w:cstheme="minorHAnsi"/>
        </w:rPr>
        <w:t xml:space="preserve">Since 1987, ARCCA, a growing national forensic, scientific, and engineering company with </w:t>
      </w:r>
      <w:r w:rsidR="003F1618">
        <w:rPr>
          <w:rFonts w:asciiTheme="minorHAnsi" w:hAnsiTheme="minorHAnsi" w:cstheme="minorHAnsi"/>
        </w:rPr>
        <w:t>7</w:t>
      </w:r>
      <w:bookmarkStart w:id="0" w:name="_GoBack"/>
      <w:bookmarkEnd w:id="0"/>
      <w:r w:rsidRPr="003F1618">
        <w:rPr>
          <w:rFonts w:asciiTheme="minorHAnsi" w:hAnsiTheme="minorHAnsi" w:cstheme="minorHAnsi"/>
        </w:rPr>
        <w:t xml:space="preserve"> offices nationwide located in </w:t>
      </w:r>
      <w:proofErr w:type="spellStart"/>
      <w:r w:rsidRPr="003F1618">
        <w:rPr>
          <w:rFonts w:asciiTheme="minorHAnsi" w:hAnsiTheme="minorHAnsi" w:cstheme="minorHAnsi"/>
        </w:rPr>
        <w:t>Penns</w:t>
      </w:r>
      <w:proofErr w:type="spellEnd"/>
      <w:r w:rsidRPr="003F1618">
        <w:rPr>
          <w:rFonts w:asciiTheme="minorHAnsi" w:hAnsiTheme="minorHAnsi" w:cstheme="minorHAnsi"/>
        </w:rPr>
        <w:t xml:space="preserve"> Park, PA (suburban Philadelphia); Pittsburgh, PA; Chicago, IL; Hollywood, FL; Pensacola, FL; Oakland, CA; and Seattle, WA, has assisted thousands of clients address their technical and scientific challenges and manage their litigation issues. </w:t>
      </w:r>
    </w:p>
    <w:p w:rsidR="003A2305" w:rsidRPr="003F1618" w:rsidRDefault="00401757">
      <w:pPr>
        <w:spacing w:after="280"/>
        <w:rPr>
          <w:rFonts w:asciiTheme="minorHAnsi" w:hAnsiTheme="minorHAnsi" w:cstheme="minorHAnsi"/>
        </w:rPr>
      </w:pPr>
      <w:r w:rsidRPr="003F1618">
        <w:rPr>
          <w:rFonts w:asciiTheme="minorHAnsi" w:hAnsiTheme="minorHAnsi" w:cstheme="minorHAnsi"/>
        </w:rPr>
        <w:t xml:space="preserve">At ARCCA, our greatest asset has always been our team members.  As such we provide a collaborative and intellectually challenging environment where our team members continue to be recognized and valued as preeminent experts and professionals.  At ARCCA, you chart the path for YOUR career and future with the support from leadership and the entire team. </w:t>
      </w:r>
    </w:p>
    <w:p w:rsidR="003A2305" w:rsidRPr="003F1618" w:rsidRDefault="00401757">
      <w:pPr>
        <w:rPr>
          <w:rFonts w:asciiTheme="minorHAnsi" w:hAnsiTheme="minorHAnsi" w:cstheme="minorHAnsi"/>
        </w:rPr>
      </w:pPr>
      <w:r w:rsidRPr="003F1618">
        <w:rPr>
          <w:rFonts w:asciiTheme="minorHAnsi" w:hAnsiTheme="minorHAnsi" w:cstheme="minorHAnsi"/>
        </w:rPr>
        <w:t xml:space="preserve">ARCCA’s robust team of approximately 100 experienced and credentialed professionals, provides Forensic </w:t>
      </w:r>
    </w:p>
    <w:p w:rsidR="003A2305" w:rsidRPr="003F1618" w:rsidRDefault="00401757">
      <w:pPr>
        <w:spacing w:after="280"/>
        <w:rPr>
          <w:rFonts w:asciiTheme="minorHAnsi" w:hAnsiTheme="minorHAnsi" w:cstheme="minorHAnsi"/>
        </w:rPr>
      </w:pPr>
      <w:r w:rsidRPr="003F1618">
        <w:rPr>
          <w:rFonts w:asciiTheme="minorHAnsi" w:hAnsiTheme="minorHAnsi" w:cstheme="minorHAnsi"/>
        </w:rPr>
        <w:t xml:space="preserve">Engineering; Expert Witness Testimony; Sports Biomechanics &amp; Human Performance; and Research, Development, Testing &amp; Evaluation services. Our expertise and depth of experience has made ARCCA the preferred choice of insurance companies, law firms, government agencies, and corporate safety, claims and risk management departments. The quality of our work has led to a national reputation as “The ARCCA Advantage – Experience, Service, Expertise and Credibility.” </w:t>
      </w:r>
    </w:p>
    <w:p w:rsidR="003A2305" w:rsidRPr="003F1618" w:rsidRDefault="00401757">
      <w:pPr>
        <w:spacing w:after="278"/>
        <w:ind w:left="-5"/>
        <w:rPr>
          <w:rFonts w:asciiTheme="minorHAnsi" w:hAnsiTheme="minorHAnsi" w:cstheme="minorHAnsi"/>
        </w:rPr>
      </w:pPr>
      <w:r w:rsidRPr="003F1618">
        <w:rPr>
          <w:rFonts w:asciiTheme="minorHAnsi" w:hAnsiTheme="minorHAnsi" w:cstheme="minorHAnsi"/>
        </w:rPr>
        <w:t xml:space="preserve">Our growth has created an opportunity to expand our existing team of Senior Civil/Structural Engineer Experts.  We have immediate openings in North Hollywood, Florida and we will consider qualified candidates in other geographic locations! </w:t>
      </w:r>
    </w:p>
    <w:p w:rsidR="003A2305" w:rsidRPr="003F1618" w:rsidRDefault="00401757">
      <w:pPr>
        <w:spacing w:after="278"/>
        <w:ind w:left="-5"/>
        <w:rPr>
          <w:rFonts w:asciiTheme="minorHAnsi" w:hAnsiTheme="minorHAnsi" w:cstheme="minorHAnsi"/>
          <w:b/>
        </w:rPr>
      </w:pPr>
      <w:r w:rsidRPr="003F1618">
        <w:rPr>
          <w:rFonts w:asciiTheme="minorHAnsi" w:hAnsiTheme="minorHAnsi" w:cstheme="minorHAnsi"/>
          <w:b/>
        </w:rPr>
        <w:t xml:space="preserve">ABOUT YOU AND THE SENIOR CIVIL/STRUCTURAL ENGINEERING EXPERT CAREER OPPORTUNITY </w:t>
      </w:r>
    </w:p>
    <w:p w:rsidR="003A2305" w:rsidRPr="003F1618" w:rsidRDefault="00401757">
      <w:pPr>
        <w:spacing w:after="280"/>
        <w:rPr>
          <w:rFonts w:asciiTheme="minorHAnsi" w:hAnsiTheme="minorHAnsi" w:cstheme="minorHAnsi"/>
        </w:rPr>
      </w:pPr>
      <w:r w:rsidRPr="003F1618">
        <w:rPr>
          <w:rFonts w:asciiTheme="minorHAnsi" w:hAnsiTheme="minorHAnsi" w:cstheme="minorHAnsi"/>
        </w:rPr>
        <w:t xml:space="preserve">You are a talented and entrepreneurial Senior Civil/Structural Engineering Expert who enjoys a collaborative work environment with a multi-disciplinary team of engineers and scientists whose purpose is to investigate and evaluate residential and commercial property losses.  </w:t>
      </w:r>
    </w:p>
    <w:p w:rsidR="003A2305" w:rsidRPr="003F1618" w:rsidRDefault="00401757">
      <w:pPr>
        <w:spacing w:after="280"/>
        <w:rPr>
          <w:rFonts w:asciiTheme="minorHAnsi" w:hAnsiTheme="minorHAnsi" w:cstheme="minorHAnsi"/>
        </w:rPr>
      </w:pPr>
      <w:r w:rsidRPr="003F1618">
        <w:rPr>
          <w:rFonts w:asciiTheme="minorHAnsi" w:hAnsiTheme="minorHAnsi" w:cstheme="minorHAnsi"/>
        </w:rPr>
        <w:t xml:space="preserve">You are self-motivated to comprehensively evaluate and apply the necessary engineering principles to evaluate and perform large- and small-scale property loss investigations, conduct code compliance evaluations, construction defect analyses, and overall engineering analyses and calculations.   </w:t>
      </w:r>
    </w:p>
    <w:p w:rsidR="003A2305" w:rsidRPr="003F1618" w:rsidRDefault="00401757">
      <w:pPr>
        <w:spacing w:after="278"/>
        <w:rPr>
          <w:rFonts w:asciiTheme="minorHAnsi" w:hAnsiTheme="minorHAnsi" w:cstheme="minorHAnsi"/>
        </w:rPr>
      </w:pPr>
      <w:r w:rsidRPr="003F1618">
        <w:rPr>
          <w:rFonts w:asciiTheme="minorHAnsi" w:hAnsiTheme="minorHAnsi" w:cstheme="minorHAnsi"/>
        </w:rPr>
        <w:t xml:space="preserve">You are adept at preparing technical reports for clients and provide testimony as needed.  You take pride in the confidence your clients have in YOUR expert status.  You appreciate being rewarded by the company through competitive salary, bonus opportunities, and comprehensive benefits. </w:t>
      </w:r>
    </w:p>
    <w:p w:rsidR="003A2305" w:rsidRPr="003F1618" w:rsidRDefault="00401757">
      <w:pPr>
        <w:spacing w:after="302"/>
        <w:ind w:left="-5"/>
        <w:rPr>
          <w:rFonts w:asciiTheme="minorHAnsi" w:hAnsiTheme="minorHAnsi" w:cstheme="minorHAnsi"/>
          <w:b/>
        </w:rPr>
      </w:pPr>
      <w:r w:rsidRPr="003F1618">
        <w:rPr>
          <w:rFonts w:asciiTheme="minorHAnsi" w:hAnsiTheme="minorHAnsi" w:cstheme="minorHAnsi"/>
          <w:b/>
        </w:rPr>
        <w:t xml:space="preserve">HOW YOU SUCCESSFULLY IMPACT CLIENTS, THE TEAM, AND THE COMPANY </w:t>
      </w:r>
    </w:p>
    <w:p w:rsidR="003A2305" w:rsidRPr="003F1618" w:rsidRDefault="00401757">
      <w:pPr>
        <w:numPr>
          <w:ilvl w:val="0"/>
          <w:numId w:val="1"/>
        </w:numPr>
        <w:ind w:hanging="360"/>
        <w:rPr>
          <w:rFonts w:asciiTheme="minorHAnsi" w:hAnsiTheme="minorHAnsi" w:cstheme="minorHAnsi"/>
        </w:rPr>
      </w:pPr>
      <w:r w:rsidRPr="003F1618">
        <w:rPr>
          <w:rFonts w:asciiTheme="minorHAnsi" w:hAnsiTheme="minorHAnsi" w:cstheme="minorHAnsi"/>
        </w:rPr>
        <w:t xml:space="preserve">Conduct assessments of damages from various sources such as water intrusion, wind, vibration, impact, construction standard of care, and building envelope failure. </w:t>
      </w:r>
    </w:p>
    <w:p w:rsidR="003A2305" w:rsidRPr="003F1618" w:rsidRDefault="00401757">
      <w:pPr>
        <w:numPr>
          <w:ilvl w:val="0"/>
          <w:numId w:val="1"/>
        </w:numPr>
        <w:ind w:hanging="360"/>
        <w:rPr>
          <w:rFonts w:asciiTheme="minorHAnsi" w:hAnsiTheme="minorHAnsi" w:cstheme="minorHAnsi"/>
        </w:rPr>
      </w:pPr>
      <w:r w:rsidRPr="003F1618">
        <w:rPr>
          <w:rFonts w:asciiTheme="minorHAnsi" w:hAnsiTheme="minorHAnsi" w:cstheme="minorHAnsi"/>
        </w:rPr>
        <w:t xml:space="preserve">Perform site and evidence inspections utilizing the latest in 3D scanning technology and software, conduct testing, failure analysis, and collect corresponding data. </w:t>
      </w:r>
    </w:p>
    <w:p w:rsidR="003A2305" w:rsidRPr="003F1618" w:rsidRDefault="00401757">
      <w:pPr>
        <w:numPr>
          <w:ilvl w:val="0"/>
          <w:numId w:val="1"/>
        </w:numPr>
        <w:ind w:hanging="360"/>
        <w:rPr>
          <w:rFonts w:asciiTheme="minorHAnsi" w:hAnsiTheme="minorHAnsi" w:cstheme="minorHAnsi"/>
        </w:rPr>
      </w:pPr>
      <w:r w:rsidRPr="003F1618">
        <w:rPr>
          <w:rFonts w:asciiTheme="minorHAnsi" w:hAnsiTheme="minorHAnsi" w:cstheme="minorHAnsi"/>
        </w:rPr>
        <w:t xml:space="preserve">Provide post damage assessments outlining scope of repairs along with temporary support systems for repair, analysis, and design of structures and foundations. </w:t>
      </w:r>
    </w:p>
    <w:p w:rsidR="003A2305" w:rsidRPr="003F1618" w:rsidRDefault="00401757">
      <w:pPr>
        <w:numPr>
          <w:ilvl w:val="0"/>
          <w:numId w:val="1"/>
        </w:numPr>
        <w:ind w:hanging="360"/>
        <w:rPr>
          <w:rFonts w:asciiTheme="minorHAnsi" w:hAnsiTheme="minorHAnsi" w:cstheme="minorHAnsi"/>
        </w:rPr>
      </w:pPr>
      <w:r w:rsidRPr="003F1618">
        <w:rPr>
          <w:rFonts w:asciiTheme="minorHAnsi" w:hAnsiTheme="minorHAnsi" w:cstheme="minorHAnsi"/>
        </w:rPr>
        <w:t xml:space="preserve">Work in a fast-paced environment involving multiple projects while remaining detail oriented. </w:t>
      </w:r>
    </w:p>
    <w:p w:rsidR="003A2305" w:rsidRPr="003F1618" w:rsidRDefault="00401757">
      <w:pPr>
        <w:numPr>
          <w:ilvl w:val="0"/>
          <w:numId w:val="1"/>
        </w:numPr>
        <w:ind w:hanging="360"/>
        <w:rPr>
          <w:rFonts w:asciiTheme="minorHAnsi" w:hAnsiTheme="minorHAnsi" w:cstheme="minorHAnsi"/>
        </w:rPr>
      </w:pPr>
      <w:r w:rsidRPr="003F1618">
        <w:rPr>
          <w:rFonts w:asciiTheme="minorHAnsi" w:hAnsiTheme="minorHAnsi" w:cstheme="minorHAnsi"/>
        </w:rPr>
        <w:lastRenderedPageBreak/>
        <w:t xml:space="preserve">Prepare and deliver technical/educational presentations to existing and potential client groups and/or present as a keynote speaker at technical conferences.  You want to be seen and heard as the technical expert and elevate your exposure within the current and future client community. </w:t>
      </w:r>
    </w:p>
    <w:p w:rsidR="003A2305" w:rsidRPr="003F1618" w:rsidRDefault="00401757">
      <w:pPr>
        <w:numPr>
          <w:ilvl w:val="0"/>
          <w:numId w:val="1"/>
        </w:numPr>
        <w:ind w:hanging="360"/>
        <w:rPr>
          <w:rFonts w:asciiTheme="minorHAnsi" w:hAnsiTheme="minorHAnsi" w:cstheme="minorHAnsi"/>
        </w:rPr>
      </w:pPr>
      <w:r w:rsidRPr="003F1618">
        <w:rPr>
          <w:rFonts w:asciiTheme="minorHAnsi" w:hAnsiTheme="minorHAnsi" w:cstheme="minorHAnsi"/>
        </w:rPr>
        <w:t xml:space="preserve">Enhance professional/technical knowledge and credibility through continuing education programs, review of technical publications, and the preparation of technical papers. </w:t>
      </w:r>
    </w:p>
    <w:p w:rsidR="003A2305" w:rsidRPr="003F1618" w:rsidRDefault="00401757">
      <w:pPr>
        <w:numPr>
          <w:ilvl w:val="0"/>
          <w:numId w:val="1"/>
        </w:numPr>
        <w:spacing w:after="278"/>
        <w:ind w:hanging="360"/>
        <w:rPr>
          <w:rFonts w:asciiTheme="minorHAnsi" w:hAnsiTheme="minorHAnsi" w:cstheme="minorHAnsi"/>
        </w:rPr>
      </w:pPr>
      <w:r w:rsidRPr="003F1618">
        <w:rPr>
          <w:rFonts w:asciiTheme="minorHAnsi" w:hAnsiTheme="minorHAnsi" w:cstheme="minorHAnsi"/>
        </w:rPr>
        <w:t xml:space="preserve">Prepare technical reports of scientific findings and conclusions that can be understood by laypersons and supported by testimony during depositions and trials. </w:t>
      </w:r>
    </w:p>
    <w:p w:rsidR="003A2305" w:rsidRPr="003F1618" w:rsidRDefault="00401757">
      <w:pPr>
        <w:spacing w:after="304"/>
        <w:ind w:left="-5"/>
        <w:rPr>
          <w:rFonts w:asciiTheme="minorHAnsi" w:hAnsiTheme="minorHAnsi" w:cstheme="minorHAnsi"/>
          <w:b/>
        </w:rPr>
      </w:pPr>
      <w:r w:rsidRPr="003F1618">
        <w:rPr>
          <w:rFonts w:asciiTheme="minorHAnsi" w:hAnsiTheme="minorHAnsi" w:cstheme="minorHAnsi"/>
          <w:b/>
        </w:rPr>
        <w:t xml:space="preserve">YOUR QUALIFICATIONS </w:t>
      </w:r>
    </w:p>
    <w:p w:rsidR="003A2305" w:rsidRPr="003F1618" w:rsidRDefault="00401757">
      <w:pPr>
        <w:numPr>
          <w:ilvl w:val="0"/>
          <w:numId w:val="1"/>
        </w:numPr>
        <w:ind w:hanging="360"/>
        <w:rPr>
          <w:rFonts w:asciiTheme="minorHAnsi" w:hAnsiTheme="minorHAnsi" w:cstheme="minorHAnsi"/>
        </w:rPr>
      </w:pPr>
      <w:r w:rsidRPr="003F1618">
        <w:rPr>
          <w:rFonts w:asciiTheme="minorHAnsi" w:hAnsiTheme="minorHAnsi" w:cstheme="minorHAnsi"/>
        </w:rPr>
        <w:t xml:space="preserve">Bachelors, Master’s, or PhD degree in Civil, Mechanical, or similar Engineering disciplines. </w:t>
      </w:r>
    </w:p>
    <w:p w:rsidR="00401757" w:rsidRPr="003F1618" w:rsidRDefault="00401757">
      <w:pPr>
        <w:numPr>
          <w:ilvl w:val="0"/>
          <w:numId w:val="1"/>
        </w:numPr>
        <w:ind w:hanging="360"/>
        <w:rPr>
          <w:rFonts w:asciiTheme="minorHAnsi" w:hAnsiTheme="minorHAnsi" w:cstheme="minorHAnsi"/>
        </w:rPr>
      </w:pPr>
      <w:r w:rsidRPr="003F1618">
        <w:rPr>
          <w:rFonts w:asciiTheme="minorHAnsi" w:hAnsiTheme="minorHAnsi" w:cstheme="minorHAnsi"/>
        </w:rPr>
        <w:t>Professional Engineer (PE) license.</w:t>
      </w:r>
    </w:p>
    <w:p w:rsidR="003A2305" w:rsidRPr="003F1618" w:rsidRDefault="00401757">
      <w:pPr>
        <w:numPr>
          <w:ilvl w:val="0"/>
          <w:numId w:val="1"/>
        </w:numPr>
        <w:ind w:hanging="360"/>
        <w:rPr>
          <w:rFonts w:asciiTheme="minorHAnsi" w:hAnsiTheme="minorHAnsi" w:cstheme="minorHAnsi"/>
        </w:rPr>
      </w:pPr>
      <w:r w:rsidRPr="003F1618">
        <w:rPr>
          <w:rFonts w:asciiTheme="minorHAnsi" w:hAnsiTheme="minorHAnsi" w:cstheme="minorHAnsi"/>
        </w:rPr>
        <w:t xml:space="preserve">10+ years of previous forensic engineering and consulting experience or relevant industry experience.  </w:t>
      </w:r>
    </w:p>
    <w:p w:rsidR="003A2305" w:rsidRPr="003F1618" w:rsidRDefault="00401757">
      <w:pPr>
        <w:numPr>
          <w:ilvl w:val="0"/>
          <w:numId w:val="1"/>
        </w:numPr>
        <w:ind w:hanging="360"/>
        <w:rPr>
          <w:rFonts w:asciiTheme="minorHAnsi" w:hAnsiTheme="minorHAnsi" w:cstheme="minorHAnsi"/>
        </w:rPr>
      </w:pPr>
      <w:r w:rsidRPr="003F1618">
        <w:rPr>
          <w:rFonts w:asciiTheme="minorHAnsi" w:hAnsiTheme="minorHAnsi" w:cstheme="minorHAnsi"/>
        </w:rPr>
        <w:t xml:space="preserve">Possess a strong background in and/or have a willingness to learn the necessary computer programs to evaluate incidents. </w:t>
      </w:r>
    </w:p>
    <w:p w:rsidR="003A2305" w:rsidRPr="003F1618" w:rsidRDefault="00401757">
      <w:pPr>
        <w:numPr>
          <w:ilvl w:val="0"/>
          <w:numId w:val="1"/>
        </w:numPr>
        <w:ind w:hanging="360"/>
        <w:rPr>
          <w:rFonts w:asciiTheme="minorHAnsi" w:hAnsiTheme="minorHAnsi" w:cstheme="minorHAnsi"/>
        </w:rPr>
      </w:pPr>
      <w:r w:rsidRPr="003F1618">
        <w:rPr>
          <w:rFonts w:asciiTheme="minorHAnsi" w:hAnsiTheme="minorHAnsi" w:cstheme="minorHAnsi"/>
        </w:rPr>
        <w:t xml:space="preserve">A strong problem-solving ability, an open-minded analytical skillset, and an intense curiosity to dig deep within the physical evidence to solve the case </w:t>
      </w:r>
    </w:p>
    <w:p w:rsidR="003A2305" w:rsidRPr="003F1618" w:rsidRDefault="00401757">
      <w:pPr>
        <w:numPr>
          <w:ilvl w:val="0"/>
          <w:numId w:val="1"/>
        </w:numPr>
        <w:ind w:hanging="360"/>
        <w:rPr>
          <w:rFonts w:asciiTheme="minorHAnsi" w:hAnsiTheme="minorHAnsi" w:cstheme="minorHAnsi"/>
        </w:rPr>
      </w:pPr>
      <w:r w:rsidRPr="003F1618">
        <w:rPr>
          <w:rFonts w:asciiTheme="minorHAnsi" w:hAnsiTheme="minorHAnsi" w:cstheme="minorHAnsi"/>
        </w:rPr>
        <w:t xml:space="preserve">General Contractor license strongly preferred. </w:t>
      </w:r>
    </w:p>
    <w:p w:rsidR="003A2305" w:rsidRPr="003F1618" w:rsidRDefault="00401757">
      <w:pPr>
        <w:numPr>
          <w:ilvl w:val="0"/>
          <w:numId w:val="1"/>
        </w:numPr>
        <w:spacing w:after="277"/>
        <w:ind w:hanging="360"/>
        <w:rPr>
          <w:rFonts w:asciiTheme="minorHAnsi" w:hAnsiTheme="minorHAnsi" w:cstheme="minorHAnsi"/>
        </w:rPr>
      </w:pPr>
      <w:r w:rsidRPr="003F1618">
        <w:rPr>
          <w:rFonts w:asciiTheme="minorHAnsi" w:hAnsiTheme="minorHAnsi" w:cstheme="minorHAnsi"/>
        </w:rPr>
        <w:t xml:space="preserve">Experience as an expert witness and testifying strongly preferred. </w:t>
      </w:r>
    </w:p>
    <w:p w:rsidR="003A2305" w:rsidRPr="003F1618" w:rsidRDefault="00401757">
      <w:pPr>
        <w:spacing w:after="278"/>
        <w:ind w:left="-5"/>
        <w:rPr>
          <w:rFonts w:asciiTheme="minorHAnsi" w:hAnsiTheme="minorHAnsi" w:cstheme="minorHAnsi"/>
          <w:b/>
        </w:rPr>
      </w:pPr>
      <w:r w:rsidRPr="003F1618">
        <w:rPr>
          <w:rFonts w:asciiTheme="minorHAnsi" w:hAnsiTheme="minorHAnsi" w:cstheme="minorHAnsi"/>
          <w:b/>
        </w:rPr>
        <w:t xml:space="preserve">BENEFITS </w:t>
      </w:r>
    </w:p>
    <w:p w:rsidR="003A2305" w:rsidRPr="003F1618" w:rsidRDefault="00401757">
      <w:pPr>
        <w:rPr>
          <w:rFonts w:asciiTheme="minorHAnsi" w:hAnsiTheme="minorHAnsi" w:cstheme="minorHAnsi"/>
        </w:rPr>
      </w:pPr>
      <w:r w:rsidRPr="003F1618">
        <w:rPr>
          <w:rFonts w:asciiTheme="minorHAnsi" w:hAnsiTheme="minorHAnsi" w:cstheme="minorHAnsi"/>
        </w:rPr>
        <w:t>401(k) with company contribution, 529 College Savings Plan, Continuing Education Assistance, Medical and Long-</w:t>
      </w:r>
    </w:p>
    <w:p w:rsidR="003A2305" w:rsidRPr="003F1618" w:rsidRDefault="00401757">
      <w:pPr>
        <w:spacing w:after="278"/>
        <w:rPr>
          <w:rFonts w:asciiTheme="minorHAnsi" w:hAnsiTheme="minorHAnsi" w:cstheme="minorHAnsi"/>
        </w:rPr>
      </w:pPr>
      <w:r w:rsidRPr="003F1618">
        <w:rPr>
          <w:rFonts w:asciiTheme="minorHAnsi" w:hAnsiTheme="minorHAnsi" w:cstheme="minorHAnsi"/>
        </w:rPr>
        <w:t xml:space="preserve">Term Disability Insurance, Telemedicine, Company paid life and short-term disability insurance, Vision Care Insurance, Medical and Dependent Care Flexible Spending Accounts, Pet Insurance, Work Life Balance and Flexible and Hybrid Schedule Policy, Social Events, and Community Volunteer/Impact Opportunities. </w:t>
      </w:r>
    </w:p>
    <w:p w:rsidR="003A2305" w:rsidRPr="003F1618" w:rsidRDefault="00401757">
      <w:pPr>
        <w:spacing w:after="278"/>
        <w:ind w:left="-5"/>
        <w:rPr>
          <w:rFonts w:asciiTheme="minorHAnsi" w:hAnsiTheme="minorHAnsi" w:cstheme="minorHAnsi"/>
        </w:rPr>
      </w:pPr>
      <w:r w:rsidRPr="003F1618">
        <w:rPr>
          <w:rFonts w:asciiTheme="minorHAnsi" w:hAnsiTheme="minorHAnsi" w:cstheme="minorHAnsi"/>
        </w:rPr>
        <w:t xml:space="preserve">For more information visit </w:t>
      </w:r>
      <w:r w:rsidRPr="003F1618">
        <w:rPr>
          <w:rFonts w:asciiTheme="minorHAnsi" w:hAnsiTheme="minorHAnsi" w:cstheme="minorHAnsi"/>
          <w:color w:val="0563C1"/>
          <w:u w:val="single" w:color="0563C1"/>
        </w:rPr>
        <w:t>www.arcca.com</w:t>
      </w:r>
      <w:r w:rsidRPr="003F1618">
        <w:rPr>
          <w:rFonts w:asciiTheme="minorHAnsi" w:hAnsiTheme="minorHAnsi" w:cstheme="minorHAnsi"/>
        </w:rPr>
        <w:t xml:space="preserve"> </w:t>
      </w:r>
    </w:p>
    <w:p w:rsidR="003A2305" w:rsidRPr="003F1618" w:rsidRDefault="00401757">
      <w:pPr>
        <w:spacing w:after="296" w:line="259" w:lineRule="auto"/>
        <w:ind w:left="0" w:firstLine="0"/>
        <w:rPr>
          <w:rFonts w:asciiTheme="minorHAnsi" w:hAnsiTheme="minorHAnsi" w:cstheme="minorHAnsi"/>
        </w:rPr>
      </w:pPr>
      <w:r w:rsidRPr="003F1618">
        <w:rPr>
          <w:rFonts w:asciiTheme="minorHAnsi" w:hAnsiTheme="minorHAnsi" w:cstheme="minorHAnsi"/>
          <w:color w:val="000000"/>
        </w:rPr>
        <w:t xml:space="preserve">ARCCA, Inc. is an Equal Opportunity and Affirmative Action Employer, M/F/Disability/Veteran. </w:t>
      </w:r>
    </w:p>
    <w:p w:rsidR="003A2305" w:rsidRPr="003F1618" w:rsidRDefault="00401757">
      <w:pPr>
        <w:spacing w:after="0" w:line="259" w:lineRule="auto"/>
        <w:ind w:left="0" w:firstLine="0"/>
        <w:rPr>
          <w:rFonts w:asciiTheme="minorHAnsi" w:hAnsiTheme="minorHAnsi" w:cstheme="minorHAnsi"/>
        </w:rPr>
      </w:pPr>
      <w:r w:rsidRPr="003F1618">
        <w:rPr>
          <w:rFonts w:asciiTheme="minorHAnsi" w:hAnsiTheme="minorHAnsi" w:cstheme="minorHAnsi"/>
        </w:rPr>
        <w:t xml:space="preserve"> </w:t>
      </w:r>
    </w:p>
    <w:sectPr w:rsidR="003A2305" w:rsidRPr="003F1618">
      <w:pgSz w:w="12240" w:h="15840"/>
      <w:pgMar w:top="1493" w:right="1459" w:bottom="14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011FA"/>
    <w:multiLevelType w:val="hybridMultilevel"/>
    <w:tmpl w:val="C810A6F4"/>
    <w:lvl w:ilvl="0" w:tplc="6A64DA48">
      <w:start w:val="1"/>
      <w:numFmt w:val="bullet"/>
      <w:lvlText w:val="•"/>
      <w:lvlJc w:val="left"/>
      <w:pPr>
        <w:ind w:left="705"/>
      </w:pPr>
      <w:rPr>
        <w:rFonts w:ascii="Arial" w:eastAsia="Arial" w:hAnsi="Arial" w:cs="Arial"/>
        <w:b w:val="0"/>
        <w:i w:val="0"/>
        <w:strike w:val="0"/>
        <w:dstrike w:val="0"/>
        <w:color w:val="424242"/>
        <w:sz w:val="20"/>
        <w:szCs w:val="20"/>
        <w:u w:val="none" w:color="000000"/>
        <w:bdr w:val="none" w:sz="0" w:space="0" w:color="auto"/>
        <w:shd w:val="clear" w:color="auto" w:fill="auto"/>
        <w:vertAlign w:val="baseline"/>
      </w:rPr>
    </w:lvl>
    <w:lvl w:ilvl="1" w:tplc="A92225DC">
      <w:start w:val="1"/>
      <w:numFmt w:val="bullet"/>
      <w:lvlText w:val="o"/>
      <w:lvlJc w:val="left"/>
      <w:pPr>
        <w:ind w:left="1440"/>
      </w:pPr>
      <w:rPr>
        <w:rFonts w:ascii="Times New Roman" w:eastAsia="Times New Roman" w:hAnsi="Times New Roman" w:cs="Times New Roman"/>
        <w:b w:val="0"/>
        <w:i w:val="0"/>
        <w:strike w:val="0"/>
        <w:dstrike w:val="0"/>
        <w:color w:val="424242"/>
        <w:sz w:val="20"/>
        <w:szCs w:val="20"/>
        <w:u w:val="none" w:color="000000"/>
        <w:bdr w:val="none" w:sz="0" w:space="0" w:color="auto"/>
        <w:shd w:val="clear" w:color="auto" w:fill="auto"/>
        <w:vertAlign w:val="baseline"/>
      </w:rPr>
    </w:lvl>
    <w:lvl w:ilvl="2" w:tplc="E59ACB92">
      <w:start w:val="1"/>
      <w:numFmt w:val="bullet"/>
      <w:lvlText w:val="▪"/>
      <w:lvlJc w:val="left"/>
      <w:pPr>
        <w:ind w:left="2160"/>
      </w:pPr>
      <w:rPr>
        <w:rFonts w:ascii="Times New Roman" w:eastAsia="Times New Roman" w:hAnsi="Times New Roman" w:cs="Times New Roman"/>
        <w:b w:val="0"/>
        <w:i w:val="0"/>
        <w:strike w:val="0"/>
        <w:dstrike w:val="0"/>
        <w:color w:val="424242"/>
        <w:sz w:val="20"/>
        <w:szCs w:val="20"/>
        <w:u w:val="none" w:color="000000"/>
        <w:bdr w:val="none" w:sz="0" w:space="0" w:color="auto"/>
        <w:shd w:val="clear" w:color="auto" w:fill="auto"/>
        <w:vertAlign w:val="baseline"/>
      </w:rPr>
    </w:lvl>
    <w:lvl w:ilvl="3" w:tplc="38B27916">
      <w:start w:val="1"/>
      <w:numFmt w:val="bullet"/>
      <w:lvlText w:val="•"/>
      <w:lvlJc w:val="left"/>
      <w:pPr>
        <w:ind w:left="2880"/>
      </w:pPr>
      <w:rPr>
        <w:rFonts w:ascii="Times New Roman" w:eastAsia="Times New Roman" w:hAnsi="Times New Roman" w:cs="Times New Roman"/>
        <w:b w:val="0"/>
        <w:i w:val="0"/>
        <w:strike w:val="0"/>
        <w:dstrike w:val="0"/>
        <w:color w:val="424242"/>
        <w:sz w:val="20"/>
        <w:szCs w:val="20"/>
        <w:u w:val="none" w:color="000000"/>
        <w:bdr w:val="none" w:sz="0" w:space="0" w:color="auto"/>
        <w:shd w:val="clear" w:color="auto" w:fill="auto"/>
        <w:vertAlign w:val="baseline"/>
      </w:rPr>
    </w:lvl>
    <w:lvl w:ilvl="4" w:tplc="9FC0FCE0">
      <w:start w:val="1"/>
      <w:numFmt w:val="bullet"/>
      <w:lvlText w:val="o"/>
      <w:lvlJc w:val="left"/>
      <w:pPr>
        <w:ind w:left="3600"/>
      </w:pPr>
      <w:rPr>
        <w:rFonts w:ascii="Times New Roman" w:eastAsia="Times New Roman" w:hAnsi="Times New Roman" w:cs="Times New Roman"/>
        <w:b w:val="0"/>
        <w:i w:val="0"/>
        <w:strike w:val="0"/>
        <w:dstrike w:val="0"/>
        <w:color w:val="424242"/>
        <w:sz w:val="20"/>
        <w:szCs w:val="20"/>
        <w:u w:val="none" w:color="000000"/>
        <w:bdr w:val="none" w:sz="0" w:space="0" w:color="auto"/>
        <w:shd w:val="clear" w:color="auto" w:fill="auto"/>
        <w:vertAlign w:val="baseline"/>
      </w:rPr>
    </w:lvl>
    <w:lvl w:ilvl="5" w:tplc="D1204D6E">
      <w:start w:val="1"/>
      <w:numFmt w:val="bullet"/>
      <w:lvlText w:val="▪"/>
      <w:lvlJc w:val="left"/>
      <w:pPr>
        <w:ind w:left="4320"/>
      </w:pPr>
      <w:rPr>
        <w:rFonts w:ascii="Times New Roman" w:eastAsia="Times New Roman" w:hAnsi="Times New Roman" w:cs="Times New Roman"/>
        <w:b w:val="0"/>
        <w:i w:val="0"/>
        <w:strike w:val="0"/>
        <w:dstrike w:val="0"/>
        <w:color w:val="424242"/>
        <w:sz w:val="20"/>
        <w:szCs w:val="20"/>
        <w:u w:val="none" w:color="000000"/>
        <w:bdr w:val="none" w:sz="0" w:space="0" w:color="auto"/>
        <w:shd w:val="clear" w:color="auto" w:fill="auto"/>
        <w:vertAlign w:val="baseline"/>
      </w:rPr>
    </w:lvl>
    <w:lvl w:ilvl="6" w:tplc="D542BFFE">
      <w:start w:val="1"/>
      <w:numFmt w:val="bullet"/>
      <w:lvlText w:val="•"/>
      <w:lvlJc w:val="left"/>
      <w:pPr>
        <w:ind w:left="5040"/>
      </w:pPr>
      <w:rPr>
        <w:rFonts w:ascii="Times New Roman" w:eastAsia="Times New Roman" w:hAnsi="Times New Roman" w:cs="Times New Roman"/>
        <w:b w:val="0"/>
        <w:i w:val="0"/>
        <w:strike w:val="0"/>
        <w:dstrike w:val="0"/>
        <w:color w:val="424242"/>
        <w:sz w:val="20"/>
        <w:szCs w:val="20"/>
        <w:u w:val="none" w:color="000000"/>
        <w:bdr w:val="none" w:sz="0" w:space="0" w:color="auto"/>
        <w:shd w:val="clear" w:color="auto" w:fill="auto"/>
        <w:vertAlign w:val="baseline"/>
      </w:rPr>
    </w:lvl>
    <w:lvl w:ilvl="7" w:tplc="0FEE9104">
      <w:start w:val="1"/>
      <w:numFmt w:val="bullet"/>
      <w:lvlText w:val="o"/>
      <w:lvlJc w:val="left"/>
      <w:pPr>
        <w:ind w:left="5760"/>
      </w:pPr>
      <w:rPr>
        <w:rFonts w:ascii="Times New Roman" w:eastAsia="Times New Roman" w:hAnsi="Times New Roman" w:cs="Times New Roman"/>
        <w:b w:val="0"/>
        <w:i w:val="0"/>
        <w:strike w:val="0"/>
        <w:dstrike w:val="0"/>
        <w:color w:val="424242"/>
        <w:sz w:val="20"/>
        <w:szCs w:val="20"/>
        <w:u w:val="none" w:color="000000"/>
        <w:bdr w:val="none" w:sz="0" w:space="0" w:color="auto"/>
        <w:shd w:val="clear" w:color="auto" w:fill="auto"/>
        <w:vertAlign w:val="baseline"/>
      </w:rPr>
    </w:lvl>
    <w:lvl w:ilvl="8" w:tplc="D9C02442">
      <w:start w:val="1"/>
      <w:numFmt w:val="bullet"/>
      <w:lvlText w:val="▪"/>
      <w:lvlJc w:val="left"/>
      <w:pPr>
        <w:ind w:left="6480"/>
      </w:pPr>
      <w:rPr>
        <w:rFonts w:ascii="Times New Roman" w:eastAsia="Times New Roman" w:hAnsi="Times New Roman" w:cs="Times New Roman"/>
        <w:b w:val="0"/>
        <w:i w:val="0"/>
        <w:strike w:val="0"/>
        <w:dstrike w:val="0"/>
        <w:color w:val="424242"/>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305"/>
    <w:rsid w:val="003A2305"/>
    <w:rsid w:val="003F1618"/>
    <w:rsid w:val="0040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4D8F"/>
  <w15:docId w15:val="{2FEA6D6B-114F-4C3D-A6FA-2FDCA444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 w:line="256" w:lineRule="auto"/>
      <w:ind w:left="10" w:hanging="10"/>
    </w:pPr>
    <w:rPr>
      <w:rFonts w:ascii="Times New Roman" w:eastAsia="Times New Roman" w:hAnsi="Times New Roman" w:cs="Times New Roman"/>
      <w:color w:val="42424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ME_CivilStructuralForensic_V1 2023.docx</dc:title>
  <dc:subject/>
  <dc:creator>Deborah</dc:creator>
  <cp:keywords/>
  <cp:lastModifiedBy>Deborah Kenderdine</cp:lastModifiedBy>
  <cp:revision>3</cp:revision>
  <dcterms:created xsi:type="dcterms:W3CDTF">2024-09-04T18:04:00Z</dcterms:created>
  <dcterms:modified xsi:type="dcterms:W3CDTF">2024-09-04T18:15:00Z</dcterms:modified>
</cp:coreProperties>
</file>